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Муниципальный этап всероссийской олимпиады школьников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астрономии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2014-2015 учебный год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9 КЛАСС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Максимальный балл - 50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Табличные данные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Масса Солнца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</w:t>
      </w:r>
      <w:r>
        <w:rPr>
          <w:rFonts w:ascii="Times New Roman CYR" w:hAnsi="Times New Roman CYR" w:cs="Times New Roman CYR"/>
          <w:i/>
          <w:iCs/>
          <w:sz w:val="24"/>
          <w:szCs w:val="24"/>
          <w:vertAlign w:val="subscript"/>
        </w:rPr>
        <w:t>с</w:t>
      </w:r>
      <w:r>
        <w:rPr>
          <w:rFonts w:ascii="Times New Roman CYR" w:hAnsi="Times New Roman CYR" w:cs="Times New Roman CYR"/>
          <w:sz w:val="24"/>
          <w:szCs w:val="24"/>
        </w:rPr>
        <w:t xml:space="preserve"> = 2</w:t>
      </w:r>
      <w:r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10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30</w:t>
      </w:r>
      <w:r>
        <w:rPr>
          <w:rFonts w:ascii="Times New Roman CYR" w:hAnsi="Times New Roman CYR" w:cs="Times New Roman CYR"/>
          <w:sz w:val="24"/>
          <w:szCs w:val="24"/>
        </w:rPr>
        <w:t>°кг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Светимость Солнца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L </w:t>
      </w:r>
      <w:r>
        <w:rPr>
          <w:rFonts w:ascii="Times New Roman CYR" w:hAnsi="Times New Roman CYR" w:cs="Times New Roman CYR"/>
          <w:sz w:val="24"/>
          <w:szCs w:val="24"/>
        </w:rPr>
        <w:t>= 3,8</w:t>
      </w:r>
      <w:r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10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26 </w:t>
      </w:r>
      <w:r>
        <w:rPr>
          <w:rFonts w:ascii="Times New Roman CYR" w:hAnsi="Times New Roman CYR" w:cs="Times New Roman CYR"/>
          <w:sz w:val="24"/>
          <w:szCs w:val="24"/>
        </w:rPr>
        <w:t>Вт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Удельная теплота сгорания каменного угля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q </w:t>
      </w:r>
      <w:r>
        <w:rPr>
          <w:rFonts w:ascii="Times New Roman CYR" w:hAnsi="Times New Roman CYR" w:cs="Times New Roman CYR"/>
          <w:sz w:val="24"/>
          <w:szCs w:val="24"/>
        </w:rPr>
        <w:t>= 2,7</w:t>
      </w:r>
      <w:r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10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>Д</w:t>
      </w:r>
      <w:r>
        <w:rPr>
          <w:rFonts w:ascii="Times New Roman CYR" w:hAnsi="Times New Roman CYR" w:cs="Times New Roman CYR"/>
          <w:sz w:val="24"/>
          <w:szCs w:val="24"/>
        </w:rPr>
        <w:t>ж/кг</w:t>
      </w:r>
    </w:p>
    <w:p w:rsidR="00000000" w:rsidRDefault="0069317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 xml:space="preserve"> Выберите правильное утверждение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Торжественное открытие Пулковской обсерватории состоялось 7 августа 1839 года по старому стилю. По новому стилю это</w:t>
      </w:r>
    </w:p>
    <w:tbl>
      <w:tblPr>
        <w:tblW w:w="0" w:type="auto"/>
        <w:tblInd w:w="675" w:type="dxa"/>
        <w:tblLayout w:type="fixed"/>
        <w:tblLook w:val="0000"/>
      </w:tblPr>
      <w:tblGrid>
        <w:gridCol w:w="636"/>
        <w:gridCol w:w="20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  <w:t>20 августа 1839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 августа 1839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 августа 1839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 августа 1839</w:t>
            </w:r>
          </w:p>
        </w:tc>
      </w:tr>
    </w:tbl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2. Чему равно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прямое восхождение Солнца в Северном полушарии в день летнего солнцестояния</w:t>
      </w:r>
    </w:p>
    <w:tbl>
      <w:tblPr>
        <w:tblW w:w="0" w:type="auto"/>
        <w:tblInd w:w="675" w:type="dxa"/>
        <w:tblLayout w:type="fixed"/>
        <w:tblLook w:val="0000"/>
      </w:tblPr>
      <w:tblGrid>
        <w:gridCol w:w="636"/>
        <w:gridCol w:w="20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  <w:t>0 часов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 часов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 часов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 часов</w:t>
            </w:r>
          </w:p>
        </w:tc>
      </w:tr>
    </w:tbl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3. Кто из космонавтов впервые вышел в открытое космическое пространство?</w:t>
      </w:r>
    </w:p>
    <w:tbl>
      <w:tblPr>
        <w:tblW w:w="0" w:type="auto"/>
        <w:tblInd w:w="675" w:type="dxa"/>
        <w:tblLayout w:type="fixed"/>
        <w:tblLook w:val="0000"/>
      </w:tblPr>
      <w:tblGrid>
        <w:gridCol w:w="636"/>
        <w:gridCol w:w="27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  <w:t>Юрий Гагарин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Алексей Леонов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Валентина Т</w:t>
            </w:r>
            <w:r>
              <w:rPr>
                <w:rFonts w:ascii="Calibri" w:hAnsi="Calibri" w:cs="Calibri"/>
                <w:sz w:val="24"/>
                <w:szCs w:val="24"/>
              </w:rPr>
              <w:t>ерешкова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Герман Титов</w:t>
            </w:r>
          </w:p>
        </w:tc>
      </w:tr>
    </w:tbl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4. Температура на Венере выше, чем на Земле, так как</w:t>
      </w:r>
    </w:p>
    <w:tbl>
      <w:tblPr>
        <w:tblW w:w="0" w:type="auto"/>
        <w:tblInd w:w="675" w:type="dxa"/>
        <w:tblLayout w:type="fixed"/>
        <w:tblLook w:val="0000"/>
      </w:tblPr>
      <w:tblGrid>
        <w:gridCol w:w="636"/>
        <w:gridCol w:w="48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  <w:t>она ближе к Солнцу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атмосфера плотнее, чем на Земле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вследствие парникового эффекта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вращается быстрее, чем Земля</w:t>
            </w:r>
          </w:p>
        </w:tc>
      </w:tr>
    </w:tbl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5. Видимые пути звезд при движении по небу пар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аллельны: </w:t>
      </w:r>
    </w:p>
    <w:tbl>
      <w:tblPr>
        <w:tblW w:w="0" w:type="auto"/>
        <w:tblInd w:w="675" w:type="dxa"/>
        <w:tblLayout w:type="fixed"/>
        <w:tblLook w:val="0000"/>
      </w:tblPr>
      <w:tblGrid>
        <w:gridCol w:w="636"/>
        <w:gridCol w:w="27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  <w:t>небесному экватору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небесному меридиану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горизонту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эклиптике</w:t>
            </w:r>
          </w:p>
        </w:tc>
      </w:tr>
    </w:tbl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 Какая звезда находится в хвосте Большой  Медведицы и указывает на звезду Арктур?</w:t>
      </w:r>
    </w:p>
    <w:tbl>
      <w:tblPr>
        <w:tblW w:w="0" w:type="auto"/>
        <w:tblInd w:w="675" w:type="dxa"/>
        <w:tblLayout w:type="fixed"/>
        <w:tblLook w:val="0000"/>
      </w:tblPr>
      <w:tblGrid>
        <w:gridCol w:w="636"/>
        <w:gridCol w:w="27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</w:r>
            <w:r>
              <w:rPr>
                <w:rFonts w:ascii="Calibri" w:hAnsi="Calibri" w:cs="Calibri"/>
                <w:sz w:val="24"/>
                <w:szCs w:val="24"/>
              </w:rPr>
              <w:br w:type="page"/>
              <w:t>Дубхе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Мицар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Алькор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Бенетнаш</w:t>
            </w:r>
          </w:p>
        </w:tc>
      </w:tr>
    </w:tbl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7. В начале синодического месяца («м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олодая» Луна) Луна видна слева от Солнца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 виде узкого серпа и наблюдается</w:t>
      </w:r>
    </w:p>
    <w:tbl>
      <w:tblPr>
        <w:tblW w:w="0" w:type="auto"/>
        <w:tblInd w:w="675" w:type="dxa"/>
        <w:tblLayout w:type="fixed"/>
        <w:tblLook w:val="0000"/>
      </w:tblPr>
      <w:tblGrid>
        <w:gridCol w:w="635"/>
        <w:gridCol w:w="78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br w:type="page"/>
            </w:r>
            <w:r>
              <w:rPr>
                <w:rFonts w:ascii="Arial CYR" w:hAnsi="Arial CYR" w:cs="Arial CYR"/>
                <w:sz w:val="24"/>
                <w:szCs w:val="24"/>
              </w:rPr>
              <w:br w:type="page"/>
            </w:r>
            <w:r>
              <w:rPr>
                <w:rFonts w:ascii="Arial CYR" w:hAnsi="Arial CYR" w:cs="Arial CYR"/>
                <w:sz w:val="24"/>
                <w:szCs w:val="24"/>
              </w:rPr>
              <w:br w:type="page"/>
              <w:t>после захода Солнца в восточной стороне неба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после захода Солнца в западной стороне неба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перед восходом Солнца в восточной стороне неба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после захода Солнца в запад</w:t>
            </w:r>
            <w:r>
              <w:rPr>
                <w:rFonts w:ascii="Arial CYR" w:hAnsi="Arial CYR" w:cs="Arial CYR"/>
                <w:sz w:val="24"/>
                <w:szCs w:val="24"/>
              </w:rPr>
              <w:t>ной стороне неба</w:t>
            </w:r>
          </w:p>
        </w:tc>
      </w:tr>
    </w:tbl>
    <w:p w:rsidR="00000000" w:rsidRDefault="0069317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8. Третий уточненный Закон И.Кеплера используется в основном для определения</w:t>
      </w:r>
    </w:p>
    <w:tbl>
      <w:tblPr>
        <w:tblW w:w="0" w:type="auto"/>
        <w:tblInd w:w="675" w:type="dxa"/>
        <w:tblLayout w:type="fixed"/>
        <w:tblLook w:val="0000"/>
      </w:tblPr>
      <w:tblGrid>
        <w:gridCol w:w="636"/>
        <w:gridCol w:w="27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br w:type="page"/>
            </w:r>
            <w:r>
              <w:rPr>
                <w:rFonts w:ascii="Arial CYR" w:hAnsi="Arial CYR" w:cs="Arial CYR"/>
                <w:sz w:val="24"/>
                <w:szCs w:val="24"/>
              </w:rPr>
              <w:br w:type="page"/>
            </w:r>
            <w:r>
              <w:rPr>
                <w:rFonts w:ascii="Arial CYR" w:hAnsi="Arial CYR" w:cs="Arial CYR"/>
                <w:sz w:val="24"/>
                <w:szCs w:val="24"/>
              </w:rPr>
              <w:br w:type="page"/>
              <w:t>расстояния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периода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массы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радиуса</w:t>
            </w:r>
          </w:p>
        </w:tc>
      </w:tr>
    </w:tbl>
    <w:p w:rsidR="00000000" w:rsidRDefault="0069317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9. Во время противостояния Марса в 1877 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ОН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обнаружил спутники Марса, названные впоследствии Деймосом и Фобосо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м. Назовите имя этого известного астронома</w:t>
      </w:r>
    </w:p>
    <w:tbl>
      <w:tblPr>
        <w:tblW w:w="0" w:type="auto"/>
        <w:tblInd w:w="675" w:type="dxa"/>
        <w:tblLayout w:type="fixed"/>
        <w:tblLook w:val="0000"/>
      </w:tblPr>
      <w:tblGrid>
        <w:gridCol w:w="636"/>
        <w:gridCol w:w="27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br w:type="page"/>
            </w:r>
            <w:r>
              <w:rPr>
                <w:rFonts w:ascii="Arial CYR" w:hAnsi="Arial CYR" w:cs="Arial CYR"/>
                <w:sz w:val="24"/>
                <w:szCs w:val="24"/>
              </w:rPr>
              <w:br w:type="page"/>
            </w:r>
            <w:r>
              <w:rPr>
                <w:rFonts w:ascii="Arial CYR" w:hAnsi="Arial CYR" w:cs="Arial CYR"/>
                <w:sz w:val="24"/>
                <w:szCs w:val="24"/>
              </w:rPr>
              <w:br w:type="page"/>
              <w:t>Эдмунд Галлей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Шарль Мессье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Уильям Гершель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Асаф Холл</w:t>
            </w:r>
          </w:p>
        </w:tc>
      </w:tr>
    </w:tbl>
    <w:p w:rsidR="00000000" w:rsidRDefault="0069317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10. Назовите созвездие, представленное на данном участке звездного неба</w:t>
      </w:r>
    </w:p>
    <w:tbl>
      <w:tblPr>
        <w:tblW w:w="0" w:type="auto"/>
        <w:tblInd w:w="675" w:type="dxa"/>
        <w:tblLayout w:type="fixed"/>
        <w:tblLook w:val="0000"/>
      </w:tblPr>
      <w:tblGrid>
        <w:gridCol w:w="416"/>
        <w:gridCol w:w="56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br w:type="page"/>
            </w:r>
            <w:r>
              <w:rPr>
                <w:rFonts w:ascii="Arial CYR" w:hAnsi="Arial CYR" w:cs="Arial CYR"/>
                <w:sz w:val="24"/>
                <w:szCs w:val="24"/>
              </w:rPr>
              <w:br w:type="page"/>
            </w:r>
            <w:r>
              <w:rPr>
                <w:rFonts w:ascii="Arial CYR" w:hAnsi="Arial CYR" w:cs="Arial CYR"/>
                <w:sz w:val="24"/>
                <w:szCs w:val="24"/>
              </w:rPr>
              <w:br w:type="page"/>
              <w:t>Орёл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Лебедь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Кассиопея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</w:p>
          <w:p w:rsidR="00000000" w:rsidRDefault="0070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3466465" cy="3188335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318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Возничий</w:t>
            </w:r>
          </w:p>
        </w:tc>
      </w:tr>
    </w:tbl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Решение. </w:t>
      </w:r>
      <w:r>
        <w:rPr>
          <w:rFonts w:ascii="Times New Roman CYR" w:hAnsi="Times New Roman CYR" w:cs="Times New Roman CYR"/>
          <w:sz w:val="24"/>
          <w:szCs w:val="24"/>
        </w:rPr>
        <w:t xml:space="preserve">За каждую верно определенную позицию выставляется по 1 баллу.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4"/>
        <w:gridCol w:w="874"/>
        <w:gridCol w:w="873"/>
        <w:gridCol w:w="873"/>
        <w:gridCol w:w="873"/>
        <w:gridCol w:w="873"/>
        <w:gridCol w:w="873"/>
        <w:gridCol w:w="875"/>
        <w:gridCol w:w="875"/>
        <w:gridCol w:w="875"/>
        <w:gridCol w:w="86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Вопрос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Ответ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</w:tbl>
    <w:p w:rsidR="00000000" w:rsidRDefault="0069317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Максимальный балл-  10</w:t>
      </w:r>
    </w:p>
    <w:p w:rsidR="00000000" w:rsidRDefault="0069317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69317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В повести Стругацких «Полдень, XXII век» герой попадает</w:t>
      </w:r>
      <w:r>
        <w:rPr>
          <w:rFonts w:ascii="Times New Roman CYR" w:hAnsi="Times New Roman CYR" w:cs="Times New Roman CYR"/>
          <w:sz w:val="24"/>
          <w:szCs w:val="24"/>
        </w:rPr>
        <w:t xml:space="preserve"> на планету Леонида,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очень похожую на Землю:</w:t>
      </w:r>
    </w:p>
    <w:p w:rsidR="00000000" w:rsidRDefault="00693172">
      <w:pPr>
        <w:widowControl w:val="0"/>
        <w:shd w:val="clear" w:color="auto" w:fill="FFFFFF"/>
        <w:tabs>
          <w:tab w:val="left" w:pos="142"/>
          <w:tab w:val="left" w:pos="2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«Среди мигающих звёзд неторопливо прошло через зенит яркое белое пятнышко. Комов приподнялся на локтях, следя глазами за ним. Это был «Подсолнечник» - полуторакилометровый десантный звездолёт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сверхдальнего дейст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вия. Сейчас он обращался вокруг Леониды </w:t>
      </w:r>
      <w:r>
        <w:rPr>
          <w:rFonts w:ascii="Times New Roman CYR" w:hAnsi="Times New Roman CYR" w:cs="Times New Roman CYR"/>
          <w:sz w:val="24"/>
          <w:szCs w:val="24"/>
        </w:rPr>
        <w:t xml:space="preserve">[по круговой орбите]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на расстоянии двух мегаметров от поверхности. Стоит подать сигнал бедствия, и оттуда придут на помощь».</w:t>
      </w:r>
    </w:p>
    <w:p w:rsidR="00000000" w:rsidRDefault="0069317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Насколько хорошим зрением обладал Комов? Обычно считается, что предельное разрешение глаза </w:t>
      </w:r>
      <w:r>
        <w:rPr>
          <w:rFonts w:ascii="Times New Roman CYR" w:hAnsi="Times New Roman CYR" w:cs="Times New Roman CYR"/>
          <w:sz w:val="24"/>
          <w:szCs w:val="24"/>
        </w:rPr>
        <w:t>зоркого человека составляет одну угловую минуту.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Решение</w:t>
      </w:r>
    </w:p>
    <w:p w:rsidR="00000000" w:rsidRDefault="00693172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I.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Поскольку звездолёт проходил через зенит, расстояние до него было около 2000 км.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3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II.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Объект размером в 1,5 км виден с такого расстояния под углом </w:t>
      </w:r>
      <w:r w:rsidR="00CA4468">
        <w:rPr>
          <w:rFonts w:ascii="Calibri" w:hAnsi="Calibri" w:cs="Calibri"/>
          <w:lang w:val="en-US"/>
        </w:rPr>
        <w:object w:dxaOrig="2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05pt;height:31.3pt" o:ole="">
            <v:imagedata r:id="rId5" o:title=""/>
          </v:shape>
          <o:OLEObject Type="Embed" ProgID="Equation.3" ShapeID="_x0000_i1025" DrawAspect="Content" ObjectID="_1475526455" r:id="rId6"/>
        </w:objec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3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III. </w:t>
      </w:r>
      <w:r>
        <w:rPr>
          <w:rFonts w:ascii="Times New Roman CYR" w:hAnsi="Times New Roman CYR" w:cs="Times New Roman CYR"/>
          <w:sz w:val="24"/>
          <w:szCs w:val="24"/>
        </w:rPr>
        <w:t>Звездолёт показался Комову «пятнышком», а не «звёздочкой», т.е. представлялся ему объектом со вполне различимым угловым размером. Обычно это бывает тогда, когда угловой размер превосходит разрешающую способность глаза как минимум п</w:t>
      </w:r>
      <w:r>
        <w:rPr>
          <w:rFonts w:ascii="Times New Roman CYR" w:hAnsi="Times New Roman CYR" w:cs="Times New Roman CYR"/>
          <w:sz w:val="24"/>
          <w:szCs w:val="24"/>
        </w:rPr>
        <w:t xml:space="preserve">очти в два раза.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3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sz w:val="24"/>
          <w:szCs w:val="24"/>
        </w:rPr>
        <w:t xml:space="preserve">Это говорит о том, что разрешение глаза Комова было по крайней мере примерно в два раза лучше, чем 2,6', то есть не хуже 1,3'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–</w:t>
      </w:r>
      <w:r>
        <w:rPr>
          <w:rFonts w:ascii="Times New Roman CYR" w:hAnsi="Times New Roman CYR" w:cs="Times New Roman CYR"/>
          <w:sz w:val="24"/>
          <w:szCs w:val="24"/>
        </w:rPr>
        <w:t xml:space="preserve"> 1,5'.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3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sz w:val="24"/>
          <w:szCs w:val="24"/>
        </w:rPr>
        <w:t>Это значит, что зрение у него было (как минимум) вполне хорошим.</w:t>
      </w: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Оценивание решения: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I.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– 2 балл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а; II.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– 2 балла;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III. – 2 балла, 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2 балла,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2 балла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.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Максимальный балл-  10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3.</w:t>
      </w:r>
      <w:r>
        <w:rPr>
          <w:rFonts w:ascii="Times New Roman CYR" w:hAnsi="Times New Roman CYR" w:cs="Times New Roman CYR"/>
          <w:sz w:val="24"/>
          <w:szCs w:val="24"/>
        </w:rPr>
        <w:t xml:space="preserve"> В XIX веке вопрос об источнике энергии Солнца Дж. Гершель назвал «великой тайной». Среди первых научных гипотез об источнике энергии Солнца было предположение, что н</w:t>
      </w:r>
      <w:r>
        <w:rPr>
          <w:rFonts w:ascii="Times New Roman CYR" w:hAnsi="Times New Roman CYR" w:cs="Times New Roman CYR"/>
          <w:sz w:val="24"/>
          <w:szCs w:val="24"/>
        </w:rPr>
        <w:t>аше дневное светило является раскаленным остывающим телом или представляет собой химически горящее тело. Юлиус Роберт Майер в середине XIX века показал, что даже если Солнце состояло бы из чистого каменного угля, оно сгорело бы за исторически короткий пром</w:t>
      </w:r>
      <w:r>
        <w:rPr>
          <w:rFonts w:ascii="Times New Roman CYR" w:hAnsi="Times New Roman CYR" w:cs="Times New Roman CYR"/>
          <w:sz w:val="24"/>
          <w:szCs w:val="24"/>
        </w:rPr>
        <w:t>ежуток времени. Сделайте оценку этого времени и объясните причину не состоятельности этого источника энергии Солнца.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Решение</w:t>
      </w:r>
    </w:p>
    <w:p w:rsidR="00000000" w:rsidRDefault="006931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I.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Учтем, что светимость Солнца равна мощности его горения: </w:t>
      </w:r>
    </w:p>
    <w:p w:rsidR="00000000" w:rsidRDefault="00CA44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Calibri" w:hAnsi="Calibri" w:cs="Calibri"/>
          <w:lang w:val="en-US"/>
        </w:rPr>
        <w:object w:dxaOrig="620" w:dyaOrig="257">
          <v:shape id="_x0000_i1026" type="#_x0000_t75" style="width:31.3pt;height:13.15pt" o:ole="">
            <v:imagedata r:id="rId7" o:title=""/>
          </v:shape>
          <o:OLEObject Type="Embed" ProgID="Equation.3" ShapeID="_x0000_i1026" DrawAspect="Content" ObjectID="_1475526456" r:id="rId8"/>
        </w:object>
      </w:r>
    </w:p>
    <w:p w:rsidR="00000000" w:rsidRDefault="006931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II.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Определим мощность сгорания каменного угля с массой, равной массе Солнца:</w:t>
      </w:r>
    </w:p>
    <w:p w:rsidR="00000000" w:rsidRDefault="00CA44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Calibri" w:hAnsi="Calibri" w:cs="Calibri"/>
          <w:lang w:val="en-US"/>
        </w:rPr>
        <w:object w:dxaOrig="1340" w:dyaOrig="620">
          <v:shape id="_x0000_i1027" type="#_x0000_t75" style="width:67pt;height:31.3pt" o:ole="">
            <v:imagedata r:id="rId9" o:title=""/>
          </v:shape>
          <o:OLEObject Type="Embed" ProgID="Equation.3" ShapeID="_x0000_i1027" DrawAspect="Content" ObjectID="_1475526457" r:id="rId10"/>
        </w:object>
      </w:r>
    </w:p>
    <w:p w:rsidR="00000000" w:rsidRDefault="006931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III. </w:t>
      </w:r>
      <w:r>
        <w:rPr>
          <w:rFonts w:ascii="Times New Roman CYR" w:hAnsi="Times New Roman CYR" w:cs="Times New Roman CYR"/>
          <w:sz w:val="24"/>
          <w:szCs w:val="24"/>
        </w:rPr>
        <w:t>Время сгорания каменного угля с массой, равной массе Солнца:</w:t>
      </w:r>
    </w:p>
    <w:p w:rsidR="00000000" w:rsidRDefault="00CA44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Calibri" w:hAnsi="Calibri" w:cs="Calibri"/>
          <w:lang w:val="en-US"/>
        </w:rPr>
        <w:object w:dxaOrig="930" w:dyaOrig="620">
          <v:shape id="_x0000_i1028" type="#_x0000_t75" style="width:46.35pt;height:31.3pt" o:ole="">
            <v:imagedata r:id="rId11" o:title=""/>
          </v:shape>
          <o:OLEObject Type="Embed" ProgID="Equation.3" ShapeID="_x0000_i1028" DrawAspect="Content" ObjectID="_1475526458" r:id="rId12"/>
        </w:objec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 w:rsidR="00CA4468">
        <w:rPr>
          <w:rFonts w:ascii="Calibri" w:hAnsi="Calibri" w:cs="Calibri"/>
          <w:lang w:val="en-US"/>
        </w:rPr>
        <w:object w:dxaOrig="4980" w:dyaOrig="700">
          <v:shape id="_x0000_i1029" type="#_x0000_t75" style="width:249.2pt;height:35.05pt" o:ole="">
            <v:imagedata r:id="rId13" o:title=""/>
          </v:shape>
          <o:OLEObject Type="Embed" ProgID="Equation.3" ShapeID="_x0000_i1029" DrawAspect="Content" ObjectID="_1475526459" r:id="rId14"/>
        </w:objec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sz w:val="24"/>
          <w:szCs w:val="24"/>
        </w:rPr>
        <w:t xml:space="preserve">Время сгорания «каменоугольного» Солнца примерно 4500 лет. Кроме того, для сгорания потребовалось бы большое количество кислорода, которого нет в таких количествах в </w:t>
      </w:r>
      <w:r>
        <w:rPr>
          <w:rFonts w:ascii="Times New Roman CYR" w:hAnsi="Times New Roman CYR" w:cs="Times New Roman CYR"/>
          <w:sz w:val="24"/>
          <w:szCs w:val="24"/>
        </w:rPr>
        <w:t>Солнечной системе.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Оценивание решения: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I.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– 2 балла; II.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– 2 балла;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III. – 2 балла, 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2 балла,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2 балла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.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lastRenderedPageBreak/>
        <w:t>Максимальный балл-  10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4.</w:t>
      </w:r>
      <w:r>
        <w:rPr>
          <w:rFonts w:ascii="Times New Roman CYR" w:hAnsi="Times New Roman CYR" w:cs="Times New Roman CYR"/>
          <w:sz w:val="24"/>
          <w:szCs w:val="24"/>
        </w:rPr>
        <w:t xml:space="preserve"> Как меняется высота Солнца над горизонтом в течение года в Челябинске? Когда высота Солнца над горизонтом наибольш</w:t>
      </w:r>
      <w:r>
        <w:rPr>
          <w:rFonts w:ascii="Times New Roman CYR" w:hAnsi="Times New Roman CYR" w:cs="Times New Roman CYR"/>
          <w:sz w:val="24"/>
          <w:szCs w:val="24"/>
        </w:rPr>
        <w:t>ая и когда наименьшая?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Решение.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I.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Двигаясь по эклиптике, Солнце отходит дальше всего от экватора в сторону северного полюса мира 22 июня. Это соответствует точке летнего солнцестояния, находясь в созвездии Рака. В этот день Солнце имеет максимальное склон</w:t>
      </w:r>
      <w:r>
        <w:rPr>
          <w:rFonts w:ascii="Times New Roman CYR" w:hAnsi="Times New Roman CYR" w:cs="Times New Roman CYR"/>
          <w:sz w:val="24"/>
          <w:szCs w:val="24"/>
        </w:rPr>
        <w:t xml:space="preserve">ение </w:t>
      </w:r>
      <w:r>
        <w:rPr>
          <w:rFonts w:ascii="Times New Roman" w:hAnsi="Times New Roman" w:cs="Times New Roman"/>
          <w:sz w:val="24"/>
          <w:szCs w:val="24"/>
        </w:rPr>
        <w:t>δ=+23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 xml:space="preserve">26'.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II.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 этот день в Челябинске (и в северном полушарии) Солнце выше всего над горизонтом. Широта Челябинска </w:t>
      </w:r>
      <w:r w:rsidR="00CA4468">
        <w:rPr>
          <w:rFonts w:ascii="Calibri" w:hAnsi="Calibri" w:cs="Calibri"/>
          <w:lang w:val="en-US"/>
        </w:rPr>
        <w:object w:dxaOrig="1386" w:dyaOrig="363">
          <v:shape id="_x0000_i1030" type="#_x0000_t75" style="width:69.5pt;height:18.15pt" o:ole="">
            <v:imagedata r:id="rId15" o:title=""/>
          </v:shape>
          <o:OLEObject Type="Embed" ProgID="Equation.3" ShapeID="_x0000_i1030" DrawAspect="Content" ObjectID="_1475526460" r:id="rId16"/>
        </w:objec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III. </w:t>
      </w:r>
      <w:r>
        <w:rPr>
          <w:rFonts w:ascii="Times New Roman CYR" w:hAnsi="Times New Roman CYR" w:cs="Times New Roman CYR"/>
          <w:sz w:val="24"/>
          <w:szCs w:val="24"/>
        </w:rPr>
        <w:t xml:space="preserve">Можно подсчитать и высоту Солнца над горизонтом 22 июня по формуле высоты светила в верхней кульминации </w:t>
      </w:r>
      <w:r w:rsidR="00CA4468">
        <w:rPr>
          <w:rFonts w:ascii="Calibri" w:hAnsi="Calibri" w:cs="Calibri"/>
          <w:lang w:val="en-US"/>
        </w:rPr>
        <w:object w:dxaOrig="5207" w:dyaOrig="363">
          <v:shape id="_x0000_i1031" type="#_x0000_t75" style="width:260.45pt;height:18.15pt" o:ole="">
            <v:imagedata r:id="rId17" o:title=""/>
          </v:shape>
          <o:OLEObject Type="Embed" ProgID="Equation.3" ShapeID="_x0000_i1031" DrawAspect="Content" ObjectID="_1475526461" r:id="rId18"/>
        </w:objec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sz w:val="24"/>
          <w:szCs w:val="24"/>
        </w:rPr>
        <w:t>22 декабря Солнце ниж</w:t>
      </w:r>
      <w:r>
        <w:rPr>
          <w:rFonts w:ascii="Times New Roman CYR" w:hAnsi="Times New Roman CYR" w:cs="Times New Roman CYR"/>
          <w:sz w:val="24"/>
          <w:szCs w:val="24"/>
        </w:rPr>
        <w:t>е над горизонтом в Челябинске. День самый короткий. Точка зимнего солнцестояния в Козероге, в ней Солнце имеет минимальное склонение</w:t>
      </w:r>
      <w:r>
        <w:rPr>
          <w:rFonts w:ascii="Times New Roman" w:hAnsi="Times New Roman" w:cs="Times New Roman"/>
          <w:sz w:val="24"/>
          <w:szCs w:val="24"/>
        </w:rPr>
        <w:t xml:space="preserve"> δ=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−</w:t>
      </w:r>
      <w:r>
        <w:rPr>
          <w:rFonts w:ascii="Times New Roman CYR" w:hAnsi="Times New Roman CYR" w:cs="Times New Roman CYR"/>
          <w:sz w:val="24"/>
          <w:szCs w:val="24"/>
        </w:rPr>
        <w:t>23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>26'.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Высота Солнца над горизонтом </w:t>
      </w:r>
    </w:p>
    <w:p w:rsidR="00000000" w:rsidRDefault="00CA44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>
        <w:rPr>
          <w:rFonts w:ascii="Calibri" w:hAnsi="Calibri" w:cs="Calibri"/>
          <w:lang w:val="en-US"/>
        </w:rPr>
        <w:object w:dxaOrig="6399" w:dyaOrig="363">
          <v:shape id="_x0000_i1032" type="#_x0000_t75" style="width:319.95pt;height:18.15pt" o:ole="">
            <v:imagedata r:id="rId19" o:title=""/>
          </v:shape>
          <o:OLEObject Type="Embed" ProgID="Equation.3" ShapeID="_x0000_i1032" DrawAspect="Content" ObjectID="_1475526462" r:id="rId20"/>
        </w:object>
      </w:r>
      <w:r w:rsidR="00693172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V.</w:t>
      </w:r>
      <w:r>
        <w:rPr>
          <w:rFonts w:ascii="Times New Roman CYR" w:hAnsi="Times New Roman CYR" w:cs="Times New Roman CYR"/>
          <w:sz w:val="24"/>
          <w:szCs w:val="24"/>
        </w:rPr>
        <w:t xml:space="preserve"> Высота Солн</w:t>
      </w:r>
      <w:r>
        <w:rPr>
          <w:rFonts w:ascii="Times New Roman CYR" w:hAnsi="Times New Roman CYR" w:cs="Times New Roman CYR"/>
          <w:sz w:val="24"/>
          <w:szCs w:val="24"/>
        </w:rPr>
        <w:t>ца над горизонтом меняется от 11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>24'45''до 58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>16'45''.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Оценивание решения: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I.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– 2 балла; II.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– 2 балла;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III. – 2 балла, 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3 балла,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1 балл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. Итого 10 баллов. </w:t>
      </w:r>
    </w:p>
    <w:p w:rsidR="00000000" w:rsidRDefault="006931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Если расчет ведется с учетом приблизительных значений </w:t>
      </w:r>
      <w:r>
        <w:rPr>
          <w:rFonts w:ascii="Times New Roman CYR" w:hAnsi="Times New Roman CYR" w:cs="Times New Roman CYR"/>
          <w:sz w:val="24"/>
          <w:szCs w:val="24"/>
        </w:rPr>
        <w:t>склонения Солнца (</w:t>
      </w:r>
      <w:r>
        <w:rPr>
          <w:rFonts w:ascii="Times New Roman" w:hAnsi="Times New Roman" w:cs="Times New Roman"/>
          <w:sz w:val="24"/>
          <w:szCs w:val="24"/>
        </w:rPr>
        <w:t>δ = ±</w:t>
      </w:r>
      <w:r>
        <w:rPr>
          <w:rFonts w:ascii="Times New Roman CYR" w:hAnsi="Times New Roman CYR" w:cs="Times New Roman CYR"/>
          <w:sz w:val="24"/>
          <w:szCs w:val="24"/>
        </w:rPr>
        <w:t xml:space="preserve"> 23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>) и широ</w:t>
      </w:r>
      <w:r>
        <w:rPr>
          <w:rFonts w:ascii="Times New Roman CYR" w:hAnsi="Times New Roman CYR" w:cs="Times New Roman CYR"/>
          <w:sz w:val="24"/>
          <w:szCs w:val="24"/>
        </w:rPr>
        <w:t>ты Челябинска (</w:t>
      </w:r>
      <w:r>
        <w:rPr>
          <w:rFonts w:ascii="Times New Roman" w:hAnsi="Times New Roman" w:cs="Times New Roman"/>
          <w:sz w:val="24"/>
          <w:szCs w:val="24"/>
        </w:rPr>
        <w:t>φ = 55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 xml:space="preserve">), то 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I.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– 1 балл; II.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1 балла, а верно выполненное задание оценивается максимум в 8 баллов.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Максимальный балл-  10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70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7489825" cy="665543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825" cy="665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5.</w:t>
      </w:r>
      <w:r>
        <w:rPr>
          <w:rFonts w:ascii="Times New Roman CYR" w:hAnsi="Times New Roman CYR" w:cs="Times New Roman CYR"/>
          <w:sz w:val="24"/>
          <w:szCs w:val="24"/>
        </w:rPr>
        <w:t xml:space="preserve"> Назовите два созвездия, которые изображены на «немой» карте участка звездного неба. Назовите самые яркие звезды этих созвездий. Какие интересные объекты можно наблюдать в этих созвездиях? </w:t>
      </w: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Максимальный балл- 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10</w:t>
      </w:r>
    </w:p>
    <w:p w:rsidR="00000000" w:rsidRDefault="0069317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I. Созвездия: Орион и Телец.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II. Ярчайшие звёзды: </w:t>
      </w:r>
      <w:r>
        <w:rPr>
          <w:rFonts w:ascii="Times New Roman" w:hAnsi="Times New Roman" w:cs="Times New Roman"/>
          <w:sz w:val="24"/>
          <w:szCs w:val="24"/>
        </w:rPr>
        <w:t xml:space="preserve">α </w:t>
      </w:r>
      <w:r>
        <w:rPr>
          <w:rFonts w:ascii="Times New Roman CYR" w:hAnsi="Times New Roman CYR" w:cs="Times New Roman CYR"/>
          <w:sz w:val="24"/>
          <w:szCs w:val="24"/>
        </w:rPr>
        <w:t xml:space="preserve">Ориона - Бетельгейзе и </w:t>
      </w:r>
      <w:r>
        <w:rPr>
          <w:rFonts w:ascii="Times New Roman" w:hAnsi="Times New Roman" w:cs="Times New Roman"/>
          <w:sz w:val="24"/>
          <w:szCs w:val="24"/>
        </w:rPr>
        <w:t xml:space="preserve">α </w:t>
      </w:r>
      <w:r>
        <w:rPr>
          <w:rFonts w:ascii="Times New Roman CYR" w:hAnsi="Times New Roman CYR" w:cs="Times New Roman CYR"/>
          <w:sz w:val="24"/>
          <w:szCs w:val="24"/>
        </w:rPr>
        <w:t>Тельца – Альдебаран.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III. Туманности: Большая диффузная туманность Ориона (М42), туманность Конская голова (Орион), Крабовидная туманность в Тельце (М1 – NGC 1952) и </w:t>
      </w:r>
      <w:r>
        <w:rPr>
          <w:rFonts w:ascii="Times New Roman CYR" w:hAnsi="Times New Roman CYR" w:cs="Times New Roman CYR"/>
          <w:sz w:val="24"/>
          <w:szCs w:val="24"/>
        </w:rPr>
        <w:t>др.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IV. Рассеянные звездные скопления в Тельце (М45 Плеяды и Гиады).</w:t>
      </w:r>
    </w:p>
    <w:p w:rsidR="00000000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V. Указаны еще несколько ярких звезд в созвездии Ориона (</w:t>
      </w:r>
      <w:r>
        <w:rPr>
          <w:rFonts w:ascii="Symbol" w:hAnsi="Symbol" w:cs="Symbol"/>
          <w:sz w:val="24"/>
          <w:szCs w:val="24"/>
        </w:rPr>
        <w:t></w:t>
      </w:r>
      <w:r>
        <w:rPr>
          <w:rFonts w:ascii="Times New Roman CYR" w:hAnsi="Times New Roman CYR" w:cs="Times New Roman CYR"/>
          <w:sz w:val="24"/>
          <w:szCs w:val="24"/>
        </w:rPr>
        <w:t xml:space="preserve"> - Ригель, </w:t>
      </w:r>
      <w:r>
        <w:rPr>
          <w:rFonts w:ascii="Symbol" w:hAnsi="Symbol" w:cs="Symbol"/>
          <w:sz w:val="24"/>
          <w:szCs w:val="24"/>
        </w:rPr>
        <w:t></w:t>
      </w:r>
      <w:r>
        <w:rPr>
          <w:rFonts w:ascii="Times New Roman CYR" w:hAnsi="Times New Roman CYR" w:cs="Times New Roman CYR"/>
          <w:sz w:val="24"/>
          <w:szCs w:val="24"/>
        </w:rPr>
        <w:t xml:space="preserve"> - Беллатрикс, </w:t>
      </w:r>
      <w:r>
        <w:rPr>
          <w:rFonts w:ascii="Symbol" w:hAnsi="Symbol" w:cs="Symbol"/>
          <w:sz w:val="24"/>
          <w:szCs w:val="24"/>
        </w:rPr>
        <w:t></w:t>
      </w:r>
      <w:r>
        <w:rPr>
          <w:rFonts w:ascii="Times New Roman CYR" w:hAnsi="Times New Roman CYR" w:cs="Times New Roman CYR"/>
          <w:sz w:val="24"/>
          <w:szCs w:val="24"/>
        </w:rPr>
        <w:t xml:space="preserve"> - Минтака, </w:t>
      </w:r>
      <w:r>
        <w:rPr>
          <w:rFonts w:ascii="Symbol" w:hAnsi="Symbol" w:cs="Symbol"/>
          <w:sz w:val="24"/>
          <w:szCs w:val="24"/>
        </w:rPr>
        <w:t></w:t>
      </w:r>
      <w:r>
        <w:rPr>
          <w:rFonts w:ascii="Times New Roman CYR" w:hAnsi="Times New Roman CYR" w:cs="Times New Roman CYR"/>
          <w:sz w:val="24"/>
          <w:szCs w:val="24"/>
        </w:rPr>
        <w:t xml:space="preserve"> - Альнитак, </w:t>
      </w:r>
      <w:r>
        <w:rPr>
          <w:rFonts w:ascii="Times New Roman" w:hAnsi="Times New Roman" w:cs="Times New Roman"/>
          <w:sz w:val="24"/>
          <w:szCs w:val="24"/>
        </w:rPr>
        <w:t xml:space="preserve">ε - </w:t>
      </w:r>
      <w:r>
        <w:rPr>
          <w:rFonts w:ascii="Times New Roman CYR" w:hAnsi="Times New Roman CYR" w:cs="Times New Roman CYR"/>
          <w:sz w:val="24"/>
          <w:szCs w:val="24"/>
        </w:rPr>
        <w:t>Альнилам) или некоторые из Плеяд (Астеропа, Атлас, Плейона); или указан</w:t>
      </w:r>
      <w:r>
        <w:rPr>
          <w:rFonts w:ascii="Times New Roman CYR" w:hAnsi="Times New Roman CYR" w:cs="Times New Roman CYR"/>
          <w:sz w:val="24"/>
          <w:szCs w:val="24"/>
        </w:rPr>
        <w:t>ы верные характеристики Бетельгейзе (красный сверхгигант спектрального класса М 2) и Альдебарана (гигант спектрального класса К 5); или отмечен астеризм «пояс Ориона»; или отмечен метеорный поток Ориониды, связанный с кометой Галлея.</w:t>
      </w:r>
    </w:p>
    <w:p w:rsidR="00693172" w:rsidRDefault="00693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Оценивание решения: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I.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– 2 балла; II.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– 2 балла;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III. – 2 балла, 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I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2 балла,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V. 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– 2 балла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Максимальный балл-  10</w:t>
      </w:r>
    </w:p>
    <w:sectPr w:rsidR="0069317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A4468"/>
    <w:rsid w:val="00693172"/>
    <w:rsid w:val="0070393B"/>
    <w:rsid w:val="00CA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</dc:creator>
  <cp:lastModifiedBy>kuna</cp:lastModifiedBy>
  <cp:revision>2</cp:revision>
  <dcterms:created xsi:type="dcterms:W3CDTF">2014-10-22T17:41:00Z</dcterms:created>
  <dcterms:modified xsi:type="dcterms:W3CDTF">2014-10-22T17:41:00Z</dcterms:modified>
</cp:coreProperties>
</file>