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1. </w:t>
      </w:r>
      <w:r>
        <w:rPr>
          <w:rFonts w:cs="Times New Roman" w:ascii="Times New Roman" w:hAnsi="Times New Roman"/>
          <w:b/>
          <w:bCs/>
          <w:sz w:val="24"/>
          <w:szCs w:val="24"/>
        </w:rPr>
        <w:t>Оказание первой помощи пострадавшему.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Оценка задания</w:t>
      </w:r>
      <w:r>
        <w:rPr>
          <w:rFonts w:cs="Times New Roman" w:ascii="Times New Roman" w:hAnsi="Times New Roman"/>
          <w:sz w:val="24"/>
          <w:szCs w:val="24"/>
        </w:rPr>
        <w:t xml:space="preserve">. Максимальная оценка за правильно выполненное задание –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 баллов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b/>
          <w:bCs/>
        </w:rPr>
        <w:t xml:space="preserve">Оборудование этапа: </w:t>
      </w:r>
      <w:r>
        <w:rPr/>
        <w:t xml:space="preserve">робот-тренажер с функцией безвентиляционной реанимации и индикацией отсутствия / наличия признаков жизни, коврик туристический, телефон, стойка с указанием адреса. </w:t>
      </w:r>
    </w:p>
    <w:p>
      <w:pPr>
        <w:pStyle w:val="Default"/>
        <w:rPr/>
      </w:pPr>
      <w:r>
        <w:rPr>
          <w:b/>
          <w:bCs/>
        </w:rPr>
        <w:t xml:space="preserve">Условия: </w:t>
      </w:r>
      <w:r>
        <w:rPr/>
        <w:t xml:space="preserve">пострадавший на пожаре получил отравление токсичными продуктами горения. Необходимо оценить состояние пострадавшего и оказать первую помощь. </w:t>
      </w:r>
    </w:p>
    <w:p>
      <w:pPr>
        <w:pStyle w:val="Default"/>
        <w:rPr/>
      </w:pPr>
      <w:r>
        <w:rPr>
          <w:b/>
          <w:bCs/>
        </w:rPr>
        <w:t xml:space="preserve">Алгоритм выполнения задания: </w:t>
      </w:r>
    </w:p>
    <w:p>
      <w:pPr>
        <w:pStyle w:val="Default"/>
        <w:rPr/>
      </w:pPr>
      <w:r>
        <w:rPr/>
        <w:t xml:space="preserve">1 . Оказывает первую помощь пострадавшему в соответствии с перечнем мероприятий по оказанию первой помощи (приказ Минздравсоцразвития России от 4 мая 2012 г. № 477н). </w:t>
      </w:r>
    </w:p>
    <w:p>
      <w:pPr>
        <w:pStyle w:val="Default"/>
        <w:rPr/>
      </w:pPr>
      <w:r>
        <w:rPr/>
        <w:t xml:space="preserve">Контрольное время (превышение не допускается): </w:t>
      </w:r>
    </w:p>
    <w:p>
      <w:pPr>
        <w:pStyle w:val="Default"/>
        <w:numPr>
          <w:ilvl w:val="0"/>
          <w:numId w:val="2"/>
        </w:numPr>
        <w:rPr/>
      </w:pPr>
      <w:r>
        <w:rPr/>
        <w:t xml:space="preserve">для девушек – 3 минуты; </w:t>
      </w:r>
    </w:p>
    <w:p>
      <w:pPr>
        <w:pStyle w:val="Default"/>
        <w:numPr>
          <w:ilvl w:val="0"/>
          <w:numId w:val="2"/>
        </w:numPr>
        <w:rPr/>
      </w:pPr>
      <w:r>
        <w:rPr/>
        <w:t xml:space="preserve">для юношей – 3 минуты.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2. </w:t>
      </w:r>
      <w:r>
        <w:rPr>
          <w:rFonts w:cs="Times New Roman" w:ascii="Times New Roman" w:hAnsi="Times New Roman"/>
          <w:b/>
          <w:bCs/>
          <w:sz w:val="24"/>
          <w:szCs w:val="24"/>
        </w:rPr>
        <w:t>Ориентирование на местности.</w:t>
      </w:r>
      <w:r>
        <w:rPr>
          <w:b/>
          <w:bCs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Оценка задания. </w:t>
      </w:r>
      <w:r>
        <w:rPr>
          <w:rFonts w:cs="Times New Roman" w:ascii="Times New Roman" w:hAnsi="Times New Roman"/>
          <w:sz w:val="24"/>
          <w:szCs w:val="24"/>
        </w:rPr>
        <w:t xml:space="preserve">Максимальная оценка за правильно выполненное задание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15 баллов.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 xml:space="preserve">Оборудование этапа: </w:t>
      </w:r>
      <w:r>
        <w:rPr/>
        <w:t xml:space="preserve">компас магнитный с ценой делений 2 градуса, площадка 5×5 м, контрольные точки, находящиеся в пределах площадки 5×5 м (обозначены на местности цифрами 1, 2, 3 и т. д.), объекты (ориентиры) обозначенные буквами (А, Б, В и т. д.), линейка (40-50 см), транспортир полукруговой цена деления 1°, карточки с заданиями (с указанием контрольной точки и объектов (ориентиров). </w:t>
      </w:r>
    </w:p>
    <w:p>
      <w:pPr>
        <w:pStyle w:val="Default"/>
        <w:jc w:val="both"/>
        <w:rPr/>
      </w:pPr>
      <w:r>
        <w:rPr>
          <w:b/>
          <w:bCs/>
        </w:rPr>
        <w:t xml:space="preserve">Условие: </w:t>
      </w:r>
      <w:r>
        <w:rPr/>
        <w:t xml:space="preserve">на местности обозначены «контрольные точки». Находясь на обозначенной площадке участник, в соответствии с карточкой с заданием при помощи магнитного компаса, линейки или глазомерным способом должен определить: </w:t>
      </w:r>
    </w:p>
    <w:p>
      <w:pPr>
        <w:pStyle w:val="Default"/>
        <w:jc w:val="both"/>
        <w:rPr/>
      </w:pPr>
      <w:r>
        <w:rPr>
          <w:i/>
          <w:iCs/>
        </w:rPr>
        <w:t xml:space="preserve">– </w:t>
      </w:r>
      <w:r>
        <w:rPr/>
        <w:t xml:space="preserve">магнитный азимут от контрольной точки на указанный объект; </w:t>
      </w:r>
    </w:p>
    <w:p>
      <w:pPr>
        <w:pStyle w:val="Default"/>
        <w:jc w:val="both"/>
        <w:rPr/>
      </w:pPr>
      <w:r>
        <w:rPr>
          <w:i/>
          <w:iCs/>
        </w:rPr>
        <w:t xml:space="preserve">– </w:t>
      </w:r>
      <w:r>
        <w:rPr/>
        <w:t xml:space="preserve">обратный азимут от указанного объекта на 1 контрольную точку; </w:t>
      </w:r>
    </w:p>
    <w:p>
      <w:pPr>
        <w:pStyle w:val="Default"/>
        <w:jc w:val="both"/>
        <w:rPr/>
      </w:pPr>
      <w:r>
        <w:rPr/>
        <w:t xml:space="preserve">Параметры, определённые на местности участник записывает в карточку выполнения практического задания (судейскую ведомость). </w:t>
      </w:r>
    </w:p>
    <w:p>
      <w:pPr>
        <w:pStyle w:val="Default"/>
        <w:jc w:val="both"/>
        <w:rPr/>
      </w:pPr>
      <w:r>
        <w:rPr>
          <w:b/>
          <w:bCs/>
        </w:rPr>
        <w:t xml:space="preserve">Алгоритм выполнения задания: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Взять карточку с заданием.</w:t>
      </w:r>
    </w:p>
    <w:p>
      <w:pPr>
        <w:pStyle w:val="Default"/>
        <w:jc w:val="both"/>
        <w:rPr/>
      </w:pPr>
      <w:r>
        <w:rPr/>
        <w:t xml:space="preserve">2. Находясь на площадке выполнения задания участник, используя магнитный компас, определяет угловые координаты (азимут и обратный азимут) указанных объектов и записывает их значения в судейскую ведомость. </w:t>
      </w:r>
    </w:p>
    <w:p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Карточка ЗАДАНИЯ 2. Ориентирование на местности.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96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2"/>
        <w:gridCol w:w="2821"/>
        <w:gridCol w:w="13"/>
        <w:gridCol w:w="1277"/>
        <w:gridCol w:w="12"/>
        <w:gridCol w:w="1262"/>
        <w:gridCol w:w="7"/>
        <w:gridCol w:w="1100"/>
        <w:gridCol w:w="27"/>
        <w:gridCol w:w="1403"/>
        <w:gridCol w:w="44"/>
        <w:gridCol w:w="1282"/>
      </w:tblGrid>
      <w:tr>
        <w:trPr>
          <w:trHeight w:val="585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№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ошибок и погрешностей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контрольной точки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Азимут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Штраф (баллы)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наличии штрафных баллов</w:t>
            </w:r>
          </w:p>
        </w:tc>
      </w:tr>
      <w:tr>
        <w:trPr>
          <w:trHeight w:val="107" w:hRule="atLeast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Заполняется участником </w:t>
            </w:r>
          </w:p>
        </w:tc>
      </w:tr>
      <w:tr>
        <w:trPr>
          <w:trHeight w:val="452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Ошибка при измерении азимута более чем на 10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452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Ошибка при измерении обратного азимута более чем на 10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611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Выход за габариты площадки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8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штрафных баллов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задания 20 - _________ = ____________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3"/>
        <w:spacing w:before="0" w:after="0"/>
        <w:mirrorIndents/>
        <w:jc w:val="both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Задание № 3.</w:t>
      </w:r>
      <w:r>
        <w:rPr>
          <w:b/>
          <w:spacing w:val="-2"/>
          <w:sz w:val="24"/>
          <w:szCs w:val="24"/>
        </w:rPr>
        <w:t xml:space="preserve"> Действия в чрезвычайной ситуации в районе аварии с утечкой аварийно-химических опасных веществ.</w:t>
      </w:r>
      <w:r>
        <w:rPr>
          <w:b/>
          <w:i/>
          <w:sz w:val="24"/>
          <w:szCs w:val="24"/>
        </w:rPr>
        <w:t xml:space="preserve"> </w:t>
      </w:r>
    </w:p>
    <w:p>
      <w:pPr>
        <w:pStyle w:val="BodyText3"/>
        <w:spacing w:before="0" w:after="0"/>
        <w:mirrorIndents/>
        <w:jc w:val="both"/>
        <w:rPr>
          <w:b/>
          <w:b/>
          <w:spacing w:val="-2"/>
          <w:sz w:val="24"/>
          <w:szCs w:val="24"/>
        </w:rPr>
      </w:pPr>
      <w:r>
        <w:rPr>
          <w:b/>
          <w:i/>
          <w:sz w:val="24"/>
          <w:szCs w:val="24"/>
        </w:rPr>
        <w:t>Оценка задания.</w:t>
      </w:r>
      <w:r>
        <w:rPr>
          <w:sz w:val="24"/>
          <w:szCs w:val="24"/>
        </w:rPr>
        <w:t xml:space="preserve"> Максимальная оценка за правильно выполненное задание – </w:t>
      </w:r>
      <w:r>
        <w:rPr>
          <w:b/>
          <w:i/>
          <w:sz w:val="24"/>
          <w:szCs w:val="24"/>
        </w:rPr>
        <w:t>10 баллов</w:t>
      </w:r>
    </w:p>
    <w:p>
      <w:pPr>
        <w:pStyle w:val="BodyText3"/>
        <w:spacing w:before="0" w:after="0"/>
        <w:mirrorIndents/>
        <w:jc w:val="both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BodyText3"/>
        <w:spacing w:before="0" w:after="0"/>
        <w:mirrorIndents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Контрольное время – </w:t>
      </w:r>
      <w:r>
        <w:rPr>
          <w:spacing w:val="-2"/>
          <w:sz w:val="24"/>
          <w:szCs w:val="24"/>
        </w:rPr>
        <w:t>1 минута.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Условие: </w:t>
      </w:r>
      <w:r>
        <w:rPr>
          <w:rFonts w:cs="Times New Roman" w:ascii="Times New Roman" w:hAnsi="Times New Roman"/>
          <w:spacing w:val="-4"/>
          <w:sz w:val="24"/>
          <w:szCs w:val="24"/>
          <w:lang w:eastAsia="ru-RU"/>
        </w:rPr>
        <w:t xml:space="preserve">на участке местности </w:t>
      </w:r>
      <w:r>
        <w:rPr>
          <w:rFonts w:cs="Times New Roman" w:ascii="Times New Roman" w:hAnsi="Times New Roman"/>
          <w:sz w:val="24"/>
          <w:szCs w:val="24"/>
          <w:lang w:eastAsia="ru-RU"/>
        </w:rPr>
        <w:t>обозначена зона химического зараже</w:t>
      </w:r>
      <w:r>
        <w:rPr>
          <w:rFonts w:cs="Times New Roman" w:ascii="Times New Roman" w:hAnsi="Times New Roman"/>
          <w:spacing w:val="-4"/>
          <w:sz w:val="24"/>
          <w:szCs w:val="24"/>
          <w:lang w:eastAsia="ru-RU"/>
        </w:rPr>
        <w:t>ния. Перед зоной заражения, на столе находятся: ватно-марлевая повязка, вода, сода, лимонная кислота, анальгин, активированный уголь, карточки с заданием (местность заражена «ХРОМ», местность заражена «АММИАКОМ», сильное задымление местности).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Алгоритм выполнения задачи: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подбегает к рубежу «старт», выбирает задание (вид заражения хлором, аммиаком, бромом, ртутью, сероводородом).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выбирает нейтрализующее средство;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берёт ватно-марлевую повязку, смачивает её раствором и одевает её;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указанию члена жюри о направлении ветра и по команде «Преодолеть зону химического заражения».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снимает ватно-марлевую повязку.</w:t>
      </w:r>
    </w:p>
    <w:p>
      <w:pPr>
        <w:pStyle w:val="Normal"/>
        <w:tabs>
          <w:tab w:val="clear" w:pos="708"/>
          <w:tab w:val="left" w:pos="22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4.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Поражение условного противника ручными гранатами.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Оценка задания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Максимальная оценка за правильно выполненное задание –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15 баллов.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Оборудование этапа: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разметочная лента, мат гимнастический 2 × 1 м – 2 шт., имитаторы гранат (мячи теннисные) – 3 шт.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Условия: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 площадке выполнения задания обозначен рубеж метания гранат (контрольная линия) и вторая линия на расстоянии 5 м от контрольной линии. Мишень (мат гимнастический) расположена фронтально по отношению к рубежу метания гранат на расстоянии 10 м от контрольной линии. Участник, должен используя три попытки поразить мишень из положения «лёжа». Результат определяется количеством попаданий в мишень.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Алгоритм выполнения задания: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Берет 3 гранаты (мячи теннисные).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Перемещается на рубеж метания.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Находясь на площадке, поочерёдно метает 3 гранаты в цель (мат гимнастический) из положения «лёжа».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Метание гранат из положения «с колена», «стоя» или «сидя» не допускается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Выполнение задания немедленно приостанавливается (прекращается) по требованию члена жюри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Заступ за контрольную линию до окончания выполнения задания не допускается.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Контрольное время (превышение не допускается):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для девушек – 1 минута 30 секунд;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для юношей – 1 минута.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709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hanging="709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ИТОГО -  80 баллов.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1e5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bd58fa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36703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bd58fa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97ede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1e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LibreOffice/7.0.5.2$Windows_X86_64 LibreOffice_project/64390860c6cd0aca4beafafcfd84613dd9dfb63a</Application>
  <AppVersion>15.0000</AppVersion>
  <Pages>2</Pages>
  <Words>626</Words>
  <Characters>4062</Characters>
  <CharactersWithSpaces>4671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2022-09-18T09:11:00Z</dcterms:created>
  <dc:creator>User</dc:creator>
  <dc:description/>
  <dc:language>ru-RU</dc:language>
  <cp:lastModifiedBy/>
  <dcterms:modified xsi:type="dcterms:W3CDTF">2022-09-29T14:15:12Z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